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3E" w:rsidRPr="00300067" w:rsidRDefault="00300067">
      <w:pPr>
        <w:rPr>
          <w:b/>
          <w:sz w:val="28"/>
        </w:rPr>
      </w:pPr>
      <w:bookmarkStart w:id="0" w:name="_GoBack"/>
      <w:bookmarkEnd w:id="0"/>
      <w:r w:rsidRPr="00300067">
        <w:rPr>
          <w:b/>
          <w:sz w:val="28"/>
        </w:rPr>
        <w:t>Guía de Preguntas orientadoras para el foro en línea sobre la conciencia pública sobre los OVM</w:t>
      </w:r>
    </w:p>
    <w:p w:rsidR="00300067" w:rsidRPr="00300067" w:rsidRDefault="00300067" w:rsidP="00300067">
      <w:pPr>
        <w:rPr>
          <w:b/>
          <w:bCs/>
          <w:sz w:val="28"/>
        </w:rPr>
      </w:pPr>
      <w:r w:rsidRPr="00300067">
        <w:rPr>
          <w:b/>
          <w:bCs/>
          <w:sz w:val="28"/>
        </w:rPr>
        <w:t xml:space="preserve">15 al 30 de Marzo 2018 </w:t>
      </w:r>
    </w:p>
    <w:p w:rsidR="00300067" w:rsidRPr="00CA06C8" w:rsidRDefault="00300067" w:rsidP="00300067">
      <w:pPr>
        <w:rPr>
          <w:b/>
        </w:rPr>
      </w:pPr>
      <w:r>
        <w:rPr>
          <w:b/>
        </w:rPr>
        <w:t>Semana</w:t>
      </w:r>
      <w:r w:rsidRPr="00CA06C8">
        <w:rPr>
          <w:b/>
        </w:rPr>
        <w:t xml:space="preserve"> 1</w:t>
      </w:r>
      <w:r>
        <w:rPr>
          <w:b/>
        </w:rPr>
        <w:t>: 15 al 22 de  Marzo 2018</w:t>
      </w:r>
    </w:p>
    <w:p w:rsidR="00300067" w:rsidRPr="00300067" w:rsidRDefault="00300067" w:rsidP="00300067">
      <w:pPr>
        <w:rPr>
          <w:b/>
        </w:rPr>
      </w:pPr>
      <w:r w:rsidRPr="00300067">
        <w:rPr>
          <w:b/>
        </w:rPr>
        <w:t>Tema 1: Mensajes y canales de comunicación para la celebración del 15º aniversario</w:t>
      </w:r>
      <w:r>
        <w:rPr>
          <w:b/>
        </w:rPr>
        <w:t xml:space="preserve"> y más allá,</w:t>
      </w:r>
      <w:r w:rsidRPr="00300067">
        <w:rPr>
          <w:b/>
        </w:rPr>
        <w:t xml:space="preserve"> de la entrada en vigor del Protocolo de Cartagena sobr</w:t>
      </w:r>
      <w:r w:rsidR="00B12D37">
        <w:rPr>
          <w:b/>
        </w:rPr>
        <w:t xml:space="preserve">e Seguridad de la Biotecnología. </w:t>
      </w:r>
    </w:p>
    <w:p w:rsidR="00300067" w:rsidRDefault="00300067" w:rsidP="00300067">
      <w:pPr>
        <w:jc w:val="both"/>
      </w:pPr>
      <w:r>
        <w:t>El 11 de septiembre de 2018 marca el 15</w:t>
      </w:r>
      <w:r w:rsidRPr="00300067">
        <w:rPr>
          <w:b/>
        </w:rPr>
        <w:t>º</w:t>
      </w:r>
      <w:r>
        <w:t xml:space="preserve"> aniversario de la entrada en vigor del Protocolo de Cartagena sobre Bioseguridad. El año 2018 también marca la entrada en vigor del Protocolo Suplementario de Nagoya-Kuala Lumpur sobre Responsabilidad y Reparación. Esta es una excelente oportunidad con el fin de crear conciencia pública sobre bioseguridad.</w:t>
      </w:r>
    </w:p>
    <w:p w:rsidR="00300067" w:rsidRDefault="00300067" w:rsidP="00300067">
      <w:pPr>
        <w:jc w:val="both"/>
      </w:pPr>
      <w:r>
        <w:t>Por favor proporcione de 2 a 3 mensajes con el objetivo de crear  conciencia pública sobre bioseguridad. Considere e indique el público objetivo y la lógica del mensaje. Indique también sub-mensajes adicionales para cada mensaje para proporcionar más detalles; por ejemplo, las acciones necesarias y quién debe tomarlas. Puede usar una matriz para proporcionar sus respuestas.</w:t>
      </w:r>
    </w:p>
    <w:p w:rsidR="00300067" w:rsidRDefault="00300067" w:rsidP="00300067">
      <w:pPr>
        <w:jc w:val="both"/>
      </w:pPr>
      <w:r>
        <w:t>Los mensajes deben ser simples, precisos y consistentes con los objetivos del Protocolo de Cartagena.</w:t>
      </w:r>
    </w:p>
    <w:p w:rsidR="00B12D37" w:rsidRDefault="00B12D37" w:rsidP="00B12D37">
      <w:pPr>
        <w:numPr>
          <w:ilvl w:val="0"/>
          <w:numId w:val="1"/>
        </w:numPr>
        <w:spacing w:after="200" w:line="276" w:lineRule="auto"/>
      </w:pPr>
      <w:r>
        <w:t>Por favor llene el cuadro con sus propuestas.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768"/>
        <w:gridCol w:w="2768"/>
      </w:tblGrid>
      <w:tr w:rsidR="00B12D37" w:rsidTr="003A3F4F">
        <w:tc>
          <w:tcPr>
            <w:tcW w:w="8856" w:type="dxa"/>
            <w:gridSpan w:val="3"/>
            <w:shd w:val="clear" w:color="auto" w:fill="auto"/>
          </w:tcPr>
          <w:p w:rsidR="00B12D37" w:rsidRPr="00B12D37" w:rsidRDefault="00B12D37" w:rsidP="00B12D37">
            <w:pPr>
              <w:rPr>
                <w:b/>
              </w:rPr>
            </w:pPr>
            <w:r w:rsidRPr="00B12D37">
              <w:rPr>
                <w:b/>
              </w:rPr>
              <w:t xml:space="preserve">Tema 1: Mensajes y canales de comunicación para la celebración del 15º aniversario y más allá, de la entrada en vigor del Protocolo de Cartagena sobre Seguridad de la Biotecnología. </w:t>
            </w:r>
          </w:p>
        </w:tc>
      </w:tr>
      <w:tr w:rsidR="00B12D37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 w:rsidRPr="00B12D37">
              <w:t>Público objetivo y justificación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 w:rsidRPr="00B12D37">
              <w:t>Público objetivo y justificación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 w:rsidRPr="00B12D37">
              <w:t>Público objetivo y justificación</w:t>
            </w:r>
          </w:p>
        </w:tc>
      </w:tr>
      <w:tr w:rsidR="00B12D37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Mensaje 1</w:t>
            </w:r>
          </w:p>
          <w:p w:rsidR="00B12D37" w:rsidRDefault="00B12D37" w:rsidP="003A3F4F"/>
          <w:p w:rsidR="00B12D37" w:rsidRDefault="00B12D37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Mensaje 2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Mensaje 3</w:t>
            </w:r>
          </w:p>
        </w:tc>
      </w:tr>
      <w:tr w:rsidR="00B12D37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Sub-mensaje 1.1</w:t>
            </w:r>
          </w:p>
          <w:p w:rsidR="00B12D37" w:rsidRDefault="00B12D37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2.1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3.1</w:t>
            </w:r>
          </w:p>
        </w:tc>
      </w:tr>
      <w:tr w:rsidR="00B12D37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Sub-mensaje 1.2</w:t>
            </w:r>
          </w:p>
          <w:p w:rsidR="00B12D37" w:rsidRDefault="00B12D37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2.2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3.2</w:t>
            </w:r>
          </w:p>
        </w:tc>
      </w:tr>
      <w:tr w:rsidR="00B12D37" w:rsidTr="003A3F4F">
        <w:tc>
          <w:tcPr>
            <w:tcW w:w="2974" w:type="dxa"/>
            <w:shd w:val="clear" w:color="auto" w:fill="auto"/>
          </w:tcPr>
          <w:p w:rsidR="00B12D37" w:rsidRDefault="00B12D37" w:rsidP="003A3F4F">
            <w:r>
              <w:t>Sub-mensaje 1.3</w:t>
            </w:r>
          </w:p>
          <w:p w:rsidR="00B12D37" w:rsidRDefault="00B12D37" w:rsidP="003A3F4F"/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2.3</w:t>
            </w:r>
          </w:p>
        </w:tc>
        <w:tc>
          <w:tcPr>
            <w:tcW w:w="2941" w:type="dxa"/>
            <w:shd w:val="clear" w:color="auto" w:fill="auto"/>
          </w:tcPr>
          <w:p w:rsidR="00B12D37" w:rsidRDefault="00B12D37" w:rsidP="003A3F4F">
            <w:r>
              <w:t>Sub-mensaje 3.3</w:t>
            </w:r>
          </w:p>
        </w:tc>
      </w:tr>
    </w:tbl>
    <w:p w:rsidR="00B12D37" w:rsidRDefault="00B12D37" w:rsidP="00B12D37">
      <w:pPr>
        <w:ind w:left="720"/>
      </w:pPr>
    </w:p>
    <w:p w:rsidR="00B12D37" w:rsidRDefault="005C3819" w:rsidP="005C3819">
      <w:pPr>
        <w:pStyle w:val="ListParagraph"/>
        <w:numPr>
          <w:ilvl w:val="0"/>
          <w:numId w:val="2"/>
        </w:numPr>
        <w:jc w:val="both"/>
      </w:pPr>
      <w:r w:rsidRPr="005C3819">
        <w:lastRenderedPageBreak/>
        <w:t xml:space="preserve">Considerando la experiencia y las lecciones aprendidas </w:t>
      </w:r>
      <w:r>
        <w:t xml:space="preserve">que se </w:t>
      </w:r>
      <w:r w:rsidRPr="005C3819">
        <w:t>compartieron, ¿cuál podría ser</w:t>
      </w:r>
      <w:r>
        <w:t xml:space="preserve"> el enfoque para las Partes y lo</w:t>
      </w:r>
      <w:r w:rsidRPr="005C3819">
        <w:t xml:space="preserve">s </w:t>
      </w:r>
      <w:r>
        <w:t>actores</w:t>
      </w:r>
      <w:r w:rsidRPr="005C3819">
        <w:t xml:space="preserve"> interesad</w:t>
      </w:r>
      <w:r>
        <w:t>o</w:t>
      </w:r>
      <w:r w:rsidRPr="005C3819">
        <w:t>s que desean emprender actividades de sensibilización?</w:t>
      </w:r>
    </w:p>
    <w:p w:rsidR="005C3819" w:rsidRDefault="005C3819" w:rsidP="005C3819">
      <w:pPr>
        <w:pStyle w:val="ListParagraph"/>
        <w:numPr>
          <w:ilvl w:val="0"/>
          <w:numId w:val="2"/>
        </w:numPr>
        <w:jc w:val="both"/>
      </w:pPr>
      <w:r w:rsidRPr="005C3819">
        <w:t>¿Qué ha</w:t>
      </w:r>
      <w:r>
        <w:t xml:space="preserve"> incluido en s</w:t>
      </w:r>
      <w:r w:rsidRPr="005C3819">
        <w:t xml:space="preserve">us estrategias de </w:t>
      </w:r>
      <w:r>
        <w:t>comunicación</w:t>
      </w:r>
      <w:r w:rsidRPr="005C3819">
        <w:t xml:space="preserve"> y qué eventos se presentan? ¿Cuál podría ser el enfoque de las Partes que desean desarrollar una estrategia </w:t>
      </w:r>
      <w:r>
        <w:t>comunicación</w:t>
      </w:r>
      <w:r w:rsidRPr="005C3819">
        <w:t xml:space="preserve"> (por ejemplo, capacitación de periodistas, artículos, debates de TV / radio, entrevistas, conferencias de prensa, comunicados de prensa, invitaciones a reuniones y anuncios)?</w:t>
      </w:r>
    </w:p>
    <w:p w:rsidR="005C3819" w:rsidRDefault="005C3819" w:rsidP="005C3819">
      <w:pPr>
        <w:pStyle w:val="ListParagraph"/>
        <w:numPr>
          <w:ilvl w:val="0"/>
          <w:numId w:val="2"/>
        </w:numPr>
        <w:jc w:val="both"/>
      </w:pPr>
      <w:r w:rsidRPr="005C3819">
        <w:t>¿Cómo supervisa y evalúa la efectividad de sus actividades de sensibilización (por ejemplo, informes, estudios de casos, encuestas r</w:t>
      </w:r>
      <w:r>
        <w:t xml:space="preserve">egulares, medición del tráfico a </w:t>
      </w:r>
      <w:r w:rsidRPr="005C3819">
        <w:t>sitios web, cobertura de los medios y difusión de materiales)?</w:t>
      </w:r>
    </w:p>
    <w:p w:rsidR="005C3819" w:rsidRDefault="005C3819" w:rsidP="005C3819">
      <w:pPr>
        <w:pStyle w:val="ListParagraph"/>
        <w:numPr>
          <w:ilvl w:val="0"/>
          <w:numId w:val="2"/>
        </w:numPr>
        <w:jc w:val="both"/>
      </w:pPr>
      <w:r w:rsidRPr="005C3819">
        <w:t xml:space="preserve">¿Cómo puede la Secretaría </w:t>
      </w:r>
      <w:r>
        <w:t xml:space="preserve">prestar </w:t>
      </w:r>
      <w:r w:rsidRPr="005C3819">
        <w:t>mejor</w:t>
      </w:r>
      <w:r>
        <w:t xml:space="preserve"> ayuda</w:t>
      </w:r>
      <w:r w:rsidRPr="005C3819">
        <w:t xml:space="preserve"> a las Partes en sus actividades de sensibilización (por ejemplo, mediante el desarrollo de videos, carteles, gráficos de información, un mapa de celebraciones, presentaciones, sesiones de preguntas y respuestas)? ¿Cuál es el público objetivo para cada una de estas actividades de apoyo?</w:t>
      </w:r>
    </w:p>
    <w:p w:rsidR="005C3819" w:rsidRDefault="005C3819" w:rsidP="005C3819">
      <w:pPr>
        <w:ind w:left="360"/>
        <w:rPr>
          <w:b/>
        </w:rPr>
      </w:pPr>
    </w:p>
    <w:p w:rsidR="005C3819" w:rsidRPr="005C3819" w:rsidRDefault="005C3819" w:rsidP="005C3819">
      <w:pPr>
        <w:rPr>
          <w:b/>
        </w:rPr>
      </w:pPr>
      <w:r>
        <w:rPr>
          <w:b/>
        </w:rPr>
        <w:t>Semana 2: 23 al</w:t>
      </w:r>
      <w:r w:rsidRPr="005C3819">
        <w:rPr>
          <w:b/>
        </w:rPr>
        <w:t xml:space="preserve"> 30</w:t>
      </w:r>
      <w:r>
        <w:rPr>
          <w:b/>
        </w:rPr>
        <w:t xml:space="preserve"> de Marzo</w:t>
      </w:r>
      <w:r w:rsidRPr="005C3819">
        <w:rPr>
          <w:b/>
        </w:rPr>
        <w:t xml:space="preserve"> 2018</w:t>
      </w:r>
    </w:p>
    <w:p w:rsidR="005C3819" w:rsidRPr="00097C4F" w:rsidRDefault="005C3819" w:rsidP="005C3819">
      <w:pPr>
        <w:rPr>
          <w:b/>
        </w:rPr>
      </w:pPr>
      <w:r w:rsidRPr="00097C4F">
        <w:rPr>
          <w:b/>
        </w:rPr>
        <w:t xml:space="preserve">Tema 2: Colaboración para el Futuro: Movilizando </w:t>
      </w:r>
      <w:r>
        <w:rPr>
          <w:b/>
        </w:rPr>
        <w:t xml:space="preserve">Alianzas y financiamiento para sensibilización. </w:t>
      </w:r>
    </w:p>
    <w:p w:rsidR="005C3819" w:rsidRDefault="005C3819" w:rsidP="005C3819">
      <w:pPr>
        <w:jc w:val="both"/>
      </w:pPr>
      <w:r w:rsidRPr="005C3819">
        <w:t>Las alianzas y las oportunidades de financiación son importantes para facilitar las actividades de sensibilización. Compartir ejemplos de experiencias nacionales en este sentido puede ser</w:t>
      </w:r>
      <w:r>
        <w:t xml:space="preserve"> de u</w:t>
      </w:r>
      <w:r w:rsidRPr="005C3819">
        <w:t>til</w:t>
      </w:r>
      <w:r>
        <w:t>idad</w:t>
      </w:r>
      <w:r w:rsidRPr="005C3819">
        <w:t>.</w:t>
      </w:r>
    </w:p>
    <w:p w:rsidR="0058182B" w:rsidRDefault="005C3819" w:rsidP="005C3819">
      <w:pPr>
        <w:pStyle w:val="ListParagraph"/>
        <w:numPr>
          <w:ilvl w:val="0"/>
          <w:numId w:val="4"/>
        </w:numPr>
        <w:jc w:val="both"/>
      </w:pPr>
      <w:r>
        <w:t xml:space="preserve">¿Podría darnos algún ejemplo de </w:t>
      </w:r>
      <w:r w:rsidR="00E65E67">
        <w:t>alianzas</w:t>
      </w:r>
      <w:r>
        <w:t xml:space="preserve"> y oportunidades de financiación?</w:t>
      </w:r>
    </w:p>
    <w:p w:rsidR="0058182B" w:rsidRDefault="0058182B" w:rsidP="0058182B">
      <w:pPr>
        <w:pStyle w:val="ListParagraph"/>
        <w:ind w:left="770"/>
        <w:jc w:val="both"/>
      </w:pPr>
    </w:p>
    <w:p w:rsidR="0058182B" w:rsidRDefault="005C3819" w:rsidP="005C3819">
      <w:pPr>
        <w:pStyle w:val="ListParagraph"/>
        <w:numPr>
          <w:ilvl w:val="0"/>
          <w:numId w:val="4"/>
        </w:numPr>
        <w:jc w:val="both"/>
      </w:pPr>
      <w:r>
        <w:t xml:space="preserve"> ¿Los diálogos de alto nivel y los esfuerzos de concientización</w:t>
      </w:r>
      <w:r w:rsidR="00E65E67">
        <w:t xml:space="preserve"> con enfoque </w:t>
      </w:r>
      <w:r>
        <w:t>sobre juventud y género jugaron un papel importante en este sentido?</w:t>
      </w:r>
    </w:p>
    <w:p w:rsidR="0058182B" w:rsidRDefault="0058182B" w:rsidP="0058182B">
      <w:pPr>
        <w:pStyle w:val="ListParagraph"/>
      </w:pPr>
    </w:p>
    <w:p w:rsidR="005C3819" w:rsidRDefault="005C3819" w:rsidP="005C3819">
      <w:pPr>
        <w:pStyle w:val="ListParagraph"/>
        <w:numPr>
          <w:ilvl w:val="0"/>
          <w:numId w:val="4"/>
        </w:numPr>
        <w:jc w:val="both"/>
      </w:pPr>
      <w:r>
        <w:t>¿En qué tipo de socios y oportunidades de financiación deberían centrarse las Partes y los interesados pertinentes para crear conciencia y cómo pueden participar? Especifique a nivel local, nacional y regional e incluya actores públicos y privados.</w:t>
      </w:r>
    </w:p>
    <w:p w:rsidR="0058182B" w:rsidRDefault="0058182B" w:rsidP="005C3819">
      <w:pPr>
        <w:jc w:val="both"/>
      </w:pPr>
    </w:p>
    <w:p w:rsidR="0058182B" w:rsidRDefault="0058182B" w:rsidP="005C3819">
      <w:pPr>
        <w:jc w:val="both"/>
        <w:rPr>
          <w:b/>
        </w:rPr>
      </w:pPr>
      <w:r w:rsidRPr="0058182B">
        <w:rPr>
          <w:b/>
        </w:rPr>
        <w:t>Tema 3: Seguimiento del programa de trabajo sobre PAEP</w:t>
      </w:r>
    </w:p>
    <w:p w:rsidR="0058182B" w:rsidRPr="0058182B" w:rsidRDefault="0058182B" w:rsidP="0058182B">
      <w:pPr>
        <w:jc w:val="both"/>
      </w:pPr>
      <w:r w:rsidRPr="0058182B">
        <w:t>El Plan Estratégico para el Protocolo de Cartagena y el Programa de Trabajo sobre PAEP finalizarán</w:t>
      </w:r>
      <w:r w:rsidRPr="0058182B">
        <w:rPr>
          <w:b/>
        </w:rPr>
        <w:t xml:space="preserve"> </w:t>
      </w:r>
      <w:r w:rsidRPr="0058182B">
        <w:t xml:space="preserve">en </w:t>
      </w:r>
      <w:r>
        <w:t xml:space="preserve">el </w:t>
      </w:r>
      <w:r w:rsidRPr="0058182B">
        <w:t>2020. El Órgano Subsidiario de Ejecución (OSE), en su segunda reunión, considerará un proceso preparatorio participativo y un cal</w:t>
      </w:r>
      <w:r>
        <w:t>endario para el seguimiento del</w:t>
      </w:r>
      <w:r w:rsidRPr="0058182B">
        <w:t xml:space="preserve"> Plan Estratégico para la Diversidad Biológica 2011-2020, teniendo en cuenta el trabajo del Convenio y sus Protocolos. </w:t>
      </w:r>
      <w:r>
        <w:t>E</w:t>
      </w:r>
      <w:r w:rsidRPr="0058182B">
        <w:t>ventualmente</w:t>
      </w:r>
      <w:r>
        <w:t>, e</w:t>
      </w:r>
      <w:r w:rsidRPr="0058182B">
        <w:t xml:space="preserve">sto puede </w:t>
      </w:r>
      <w:r>
        <w:t>intervenir en</w:t>
      </w:r>
      <w:r w:rsidRPr="0058182B">
        <w:t xml:space="preserve"> el desarrollo de una herramienta, por ejemplo un programa de trabajo, para guiar la implementación del Protocolo de Cartagena y su Protocolo Suplementario.</w:t>
      </w:r>
    </w:p>
    <w:p w:rsidR="0058182B" w:rsidRPr="0058182B" w:rsidRDefault="0058182B" w:rsidP="0058182B">
      <w:pPr>
        <w:jc w:val="both"/>
        <w:rPr>
          <w:b/>
        </w:rPr>
      </w:pPr>
    </w:p>
    <w:p w:rsidR="0058182B" w:rsidRPr="0058182B" w:rsidRDefault="0058182B" w:rsidP="0058182B">
      <w:pPr>
        <w:pStyle w:val="ListParagraph"/>
        <w:numPr>
          <w:ilvl w:val="0"/>
          <w:numId w:val="6"/>
        </w:numPr>
        <w:jc w:val="both"/>
      </w:pPr>
      <w:r w:rsidRPr="0058182B">
        <w:lastRenderedPageBreak/>
        <w:t>¿Considera que es necesario incluir la conciencia, la educación y la participación</w:t>
      </w:r>
      <w:r>
        <w:t xml:space="preserve"> </w:t>
      </w:r>
      <w:r w:rsidRPr="0058182B">
        <w:t>pública con respect</w:t>
      </w:r>
      <w:r w:rsidR="00B34CD7">
        <w:t>o a los OVM en cualquier</w:t>
      </w:r>
      <w:r w:rsidRPr="0058182B">
        <w:t xml:space="preserve"> herramienta futura </w:t>
      </w:r>
      <w:r w:rsidR="00B34CD7">
        <w:t xml:space="preserve">que sea posible, </w:t>
      </w:r>
      <w:r w:rsidRPr="0058182B">
        <w:t>para guiar la implementación del Protocolo de Cartagena después de</w:t>
      </w:r>
      <w:r w:rsidR="00B34CD7">
        <w:t>l</w:t>
      </w:r>
      <w:r w:rsidRPr="0058182B">
        <w:t xml:space="preserve"> 2020?</w:t>
      </w:r>
    </w:p>
    <w:p w:rsidR="0058182B" w:rsidRPr="0058182B" w:rsidRDefault="00B34CD7" w:rsidP="0058182B">
      <w:pPr>
        <w:pStyle w:val="ListParagraph"/>
        <w:numPr>
          <w:ilvl w:val="0"/>
          <w:numId w:val="6"/>
        </w:numPr>
        <w:jc w:val="both"/>
      </w:pPr>
      <w:r>
        <w:t>De ser así, ¿qué elementos o</w:t>
      </w:r>
      <w:r w:rsidR="0058182B" w:rsidRPr="0058182B">
        <w:t xml:space="preserve"> aspectos específicos de PAEP podrían priorizarse en dicha herramienta?</w:t>
      </w:r>
    </w:p>
    <w:sectPr w:rsidR="0058182B" w:rsidRPr="005818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6CD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044BD"/>
    <w:multiLevelType w:val="hybridMultilevel"/>
    <w:tmpl w:val="839EE5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6BC5"/>
    <w:multiLevelType w:val="hybridMultilevel"/>
    <w:tmpl w:val="2EF0F5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417A"/>
    <w:multiLevelType w:val="hybridMultilevel"/>
    <w:tmpl w:val="716256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26F1A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E09FF"/>
    <w:multiLevelType w:val="hybridMultilevel"/>
    <w:tmpl w:val="631A3B02"/>
    <w:lvl w:ilvl="0" w:tplc="100A000F">
      <w:start w:val="1"/>
      <w:numFmt w:val="decimal"/>
      <w:lvlText w:val="%1."/>
      <w:lvlJc w:val="left"/>
      <w:pPr>
        <w:ind w:left="770" w:hanging="360"/>
      </w:pPr>
    </w:lvl>
    <w:lvl w:ilvl="1" w:tplc="100A0019" w:tentative="1">
      <w:start w:val="1"/>
      <w:numFmt w:val="lowerLetter"/>
      <w:lvlText w:val="%2."/>
      <w:lvlJc w:val="left"/>
      <w:pPr>
        <w:ind w:left="1490" w:hanging="360"/>
      </w:pPr>
    </w:lvl>
    <w:lvl w:ilvl="2" w:tplc="100A001B" w:tentative="1">
      <w:start w:val="1"/>
      <w:numFmt w:val="lowerRoman"/>
      <w:lvlText w:val="%3."/>
      <w:lvlJc w:val="right"/>
      <w:pPr>
        <w:ind w:left="2210" w:hanging="180"/>
      </w:pPr>
    </w:lvl>
    <w:lvl w:ilvl="3" w:tplc="100A000F" w:tentative="1">
      <w:start w:val="1"/>
      <w:numFmt w:val="decimal"/>
      <w:lvlText w:val="%4."/>
      <w:lvlJc w:val="left"/>
      <w:pPr>
        <w:ind w:left="2930" w:hanging="360"/>
      </w:pPr>
    </w:lvl>
    <w:lvl w:ilvl="4" w:tplc="100A0019" w:tentative="1">
      <w:start w:val="1"/>
      <w:numFmt w:val="lowerLetter"/>
      <w:lvlText w:val="%5."/>
      <w:lvlJc w:val="left"/>
      <w:pPr>
        <w:ind w:left="3650" w:hanging="360"/>
      </w:pPr>
    </w:lvl>
    <w:lvl w:ilvl="5" w:tplc="100A001B" w:tentative="1">
      <w:start w:val="1"/>
      <w:numFmt w:val="lowerRoman"/>
      <w:lvlText w:val="%6."/>
      <w:lvlJc w:val="right"/>
      <w:pPr>
        <w:ind w:left="4370" w:hanging="180"/>
      </w:pPr>
    </w:lvl>
    <w:lvl w:ilvl="6" w:tplc="100A000F" w:tentative="1">
      <w:start w:val="1"/>
      <w:numFmt w:val="decimal"/>
      <w:lvlText w:val="%7."/>
      <w:lvlJc w:val="left"/>
      <w:pPr>
        <w:ind w:left="5090" w:hanging="360"/>
      </w:pPr>
    </w:lvl>
    <w:lvl w:ilvl="7" w:tplc="100A0019" w:tentative="1">
      <w:start w:val="1"/>
      <w:numFmt w:val="lowerLetter"/>
      <w:lvlText w:val="%8."/>
      <w:lvlJc w:val="left"/>
      <w:pPr>
        <w:ind w:left="5810" w:hanging="360"/>
      </w:pPr>
    </w:lvl>
    <w:lvl w:ilvl="8" w:tplc="10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7"/>
    <w:rsid w:val="00076FD0"/>
    <w:rsid w:val="000A6CB8"/>
    <w:rsid w:val="001C00DA"/>
    <w:rsid w:val="00255486"/>
    <w:rsid w:val="002644B0"/>
    <w:rsid w:val="00284861"/>
    <w:rsid w:val="002B4E9F"/>
    <w:rsid w:val="00300067"/>
    <w:rsid w:val="003F2131"/>
    <w:rsid w:val="00462A98"/>
    <w:rsid w:val="00540E74"/>
    <w:rsid w:val="00564912"/>
    <w:rsid w:val="0058182B"/>
    <w:rsid w:val="005C3819"/>
    <w:rsid w:val="006854DF"/>
    <w:rsid w:val="00691EAD"/>
    <w:rsid w:val="006B42AD"/>
    <w:rsid w:val="006E3C48"/>
    <w:rsid w:val="00711725"/>
    <w:rsid w:val="0072453E"/>
    <w:rsid w:val="007451BF"/>
    <w:rsid w:val="00827E74"/>
    <w:rsid w:val="008B5389"/>
    <w:rsid w:val="008C5478"/>
    <w:rsid w:val="008E6A9C"/>
    <w:rsid w:val="00926C2C"/>
    <w:rsid w:val="00935DE1"/>
    <w:rsid w:val="0097629C"/>
    <w:rsid w:val="0098649F"/>
    <w:rsid w:val="00AB576C"/>
    <w:rsid w:val="00B12D37"/>
    <w:rsid w:val="00B22F70"/>
    <w:rsid w:val="00B34CD7"/>
    <w:rsid w:val="00B834ED"/>
    <w:rsid w:val="00BD18C8"/>
    <w:rsid w:val="00C55EA0"/>
    <w:rsid w:val="00C82452"/>
    <w:rsid w:val="00D2471C"/>
    <w:rsid w:val="00D528B6"/>
    <w:rsid w:val="00E65E67"/>
    <w:rsid w:val="00EC6294"/>
    <w:rsid w:val="00F0411D"/>
    <w:rsid w:val="00F36E05"/>
    <w:rsid w:val="00F671B2"/>
    <w:rsid w:val="00F77320"/>
    <w:rsid w:val="00FA6F7E"/>
    <w:rsid w:val="00FB14E5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Melissa Ojeda Cabrera</dc:creator>
  <cp:lastModifiedBy>Ulrika Nilsson</cp:lastModifiedBy>
  <cp:revision>2</cp:revision>
  <dcterms:created xsi:type="dcterms:W3CDTF">2018-03-13T18:53:00Z</dcterms:created>
  <dcterms:modified xsi:type="dcterms:W3CDTF">2018-03-13T18:53:00Z</dcterms:modified>
</cp:coreProperties>
</file>